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Accompagnement du coureur 2.0 : de l'évaluation au traitement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présentiel 2 jours +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pré-learning (en e-learning)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- 1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620,00 €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620,00 €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620,00 €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